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eastAsia="Times New Roman" w:ascii="Times New Roman" w:hAnsi="Times New Roman"/>
          <w:b/>
          <w:bCs/>
          <w:smallCaps/>
          <w:spacing w:val="20"/>
          <w:sz w:val="24"/>
          <w:szCs w:val="24"/>
        </w:rPr>
        <w:t xml:space="preserve">ОТЧЕТ О ПРОВЕДЕНИИ НЕЗАВИСИМОЙ ОЦЕНКИ КАЧЕСТВА </w:t>
      </w:r>
    </w:p>
    <w:p>
      <w:pPr>
        <w:pStyle w:val="Normal"/>
        <w:spacing w:lineRule="auto" w:line="240" w:before="0" w:after="0"/>
        <w:ind w:left="426" w:right="0" w:hanging="0"/>
        <w:jc w:val="center"/>
        <w:rPr>
          <w:rFonts w:eastAsia="Times New Roman"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eastAsia="Times New Roman" w:ascii="Times New Roman" w:hAnsi="Times New Roman"/>
          <w:b/>
          <w:bCs/>
          <w:smallCaps/>
          <w:spacing w:val="20"/>
          <w:sz w:val="24"/>
          <w:szCs w:val="24"/>
        </w:rPr>
        <w:t>УСЛОВИЙ ОКАЗАНИЯ УСЛУГ ОРГАНИЗАЦИЯМИ, ОКАЗЫВАЮЩИМИ УСЛУГИ В СФЕРЕ КУЛЬТУРЫ, РАСПОЛОЖЕННЫМИ НА ТЕРРИТОРИИ КОСТРОМСКОЙ ОБЛАСТИ</w:t>
      </w:r>
    </w:p>
    <w:p>
      <w:pPr>
        <w:pStyle w:val="Normal"/>
        <w:spacing w:lineRule="auto" w:line="240" w:before="0" w:after="0"/>
        <w:ind w:left="426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Независимая оценка качества условий оказания услуг осуществляется на основе Методических рекомендаций, являющихся приложением к приказу Минкультуры России от 27.04.2018 г № 599</w:t>
      </w:r>
    </w:p>
    <w:p>
      <w:pPr>
        <w:pStyle w:val="Normal"/>
        <w:widowControl w:val="false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Цели проведения независимой оценки качества:</w:t>
      </w:r>
    </w:p>
    <w:p>
      <w:pPr>
        <w:pStyle w:val="Normal"/>
        <w:widowControl w:val="false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предоставление гражданам информации о качестве оказания социальных услуг в сфере культуры</w:t>
      </w:r>
    </w:p>
    <w:p>
      <w:pPr>
        <w:pStyle w:val="Normal"/>
        <w:widowControl w:val="false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повышение качества деятельности учреждений культуры</w:t>
      </w:r>
    </w:p>
    <w:p>
      <w:pPr>
        <w:pStyle w:val="2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b w:val="false"/>
          <w:color w:val="00000A"/>
          <w:u w:val="single"/>
          <w:lang w:val="ru-RU"/>
        </w:rPr>
      </w:pPr>
      <w:r>
        <w:rPr>
          <w:rFonts w:cs="Times New Roman" w:ascii="Times New Roman" w:hAnsi="Times New Roman"/>
          <w:b w:val="false"/>
          <w:color w:val="00000A"/>
          <w:u w:val="single"/>
        </w:rPr>
        <w:t xml:space="preserve">Объекты независимой оценки </w:t>
      </w:r>
      <w:r>
        <w:rPr>
          <w:rFonts w:cs="Times New Roman" w:ascii="Times New Roman" w:hAnsi="Times New Roman"/>
          <w:b w:val="false"/>
          <w:color w:val="00000A"/>
          <w:u w:val="single"/>
          <w:lang w:val="ru-RU"/>
        </w:rPr>
        <w:t>качества условий оказания услуг:</w:t>
      </w:r>
    </w:p>
    <w:p>
      <w:pPr>
        <w:pStyle w:val="2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b w:val="false"/>
          <w:color w:val="00000A"/>
          <w:lang w:val="ru-RU"/>
        </w:rPr>
      </w:pPr>
      <w:r>
        <w:rPr>
          <w:rFonts w:cs="Times New Roman" w:ascii="Times New Roman" w:hAnsi="Times New Roman"/>
          <w:b w:val="false"/>
          <w:color w:val="00000A"/>
        </w:rPr>
        <w:t xml:space="preserve">- </w:t>
      </w:r>
      <w:r>
        <w:rPr>
          <w:rFonts w:cs="Times New Roman" w:ascii="Times New Roman" w:hAnsi="Times New Roman"/>
          <w:b w:val="false"/>
          <w:color w:val="00000A"/>
          <w:lang w:val="ru-RU"/>
        </w:rPr>
        <w:t>ОГБУК «Концертно-выставочный центр «Губернский»</w:t>
      </w:r>
    </w:p>
    <w:p>
      <w:pPr>
        <w:pStyle w:val="Normal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Период проведения исследования</w:t>
      </w:r>
      <w:r>
        <w:rPr>
          <w:rFonts w:cs="Times New Roman" w:ascii="Times New Roman" w:hAnsi="Times New Roman"/>
          <w:sz w:val="26"/>
          <w:szCs w:val="26"/>
        </w:rPr>
        <w:t>: оценка качества условий оказания услуг проводилась в период с 01 мая по 30 сентября 2018 года.</w:t>
      </w:r>
    </w:p>
    <w:p>
      <w:pPr>
        <w:pStyle w:val="Normal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Критерии независимой оценки качества условий оказания услуг, установленные Федеральным законом № 392-ФЗ:</w:t>
      </w:r>
    </w:p>
    <w:p>
      <w:pPr>
        <w:pStyle w:val="Normal"/>
        <w:spacing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- открытость и доступность информации об организации социальной сферы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- комфортность условий предоставления услуг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- доступность услуг для инвалидов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- доброжелательность, вежливость работников организации социальной сферы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- удовлетворенность условиями оказания услуг организации социальной сферы.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b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Методика и инструментарий оценки</w:t>
      </w:r>
      <w:r>
        <w:rPr>
          <w:rFonts w:cs="Times New Roman" w:ascii="Times New Roman" w:hAnsi="Times New Roman"/>
          <w:b/>
          <w:u w:val="single"/>
        </w:rPr>
        <w:t xml:space="preserve">: 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Независимая оценка включала в себя совокупность методов социологического исследования (анализ официальных сайтов организаций, оказывающих услуги в сфере культуры, а также сайта </w:t>
      </w:r>
      <w:hyperlink r:id="rId2">
        <w:r>
          <w:rPr>
            <w:rStyle w:val="Style14"/>
            <w:rFonts w:ascii="Times New Roman" w:hAnsi="Times New Roman"/>
            <w:sz w:val="26"/>
            <w:szCs w:val="26"/>
          </w:rPr>
          <w:t>www.bus.gov.ru</w:t>
        </w:r>
      </w:hyperlink>
      <w:r>
        <w:rPr>
          <w:rFonts w:ascii="Times New Roman" w:hAnsi="Times New Roman"/>
          <w:sz w:val="26"/>
          <w:szCs w:val="26"/>
        </w:rPr>
        <w:t>, анкетирование, анализ нормативных документов – протокол Общественного совета), которые позволили получить комплексную информацию о наблюдаемых объектах.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Результаты независимой оценки качества:</w:t>
      </w:r>
      <w:r>
        <w:rPr>
          <w:rFonts w:ascii="Times New Roman" w:hAnsi="Times New Roman"/>
          <w:sz w:val="26"/>
          <w:szCs w:val="26"/>
        </w:rPr>
        <w:t xml:space="preserve"> представлены в приложении № 1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Итоговая оценка качества условий оказания услуг значимости критериев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(80 х 20% + 100 х 20% + 68 х 15% + 100 х 15% + 98 х 30%): 100 % = 90,6 баллов.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Основные недостатки в работе учреждения, отраженные в пожеланиях респондентов</w:t>
      </w:r>
      <w:r>
        <w:rPr>
          <w:rFonts w:cs="Times New Roman" w:ascii="Times New Roman" w:hAnsi="Times New Roman"/>
          <w:sz w:val="26"/>
          <w:szCs w:val="26"/>
        </w:rPr>
        <w:t>: отсутствуют</w:t>
      </w:r>
    </w:p>
    <w:p>
      <w:pPr>
        <w:pStyle w:val="Normal"/>
        <w:spacing w:lineRule="auto" w:line="240" w:before="0" w:after="0"/>
        <w:ind w:left="567" w:right="452" w:firstLine="426"/>
        <w:jc w:val="both"/>
        <w:rPr>
          <w:rFonts w:cs="Times New Roman" w:ascii="Times New Roman" w:hAnsi="Times New Roman"/>
          <w:sz w:val="26"/>
          <w:szCs w:val="26"/>
          <w:u w:val="single"/>
          <w:shd w:fill="FF6600" w:val="clear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6600" w:val="clear"/>
        </w:rPr>
        <w:t xml:space="preserve">Предложения по совершенствованию деятельности учреждения: </w:t>
      </w:r>
    </w:p>
    <w:p>
      <w:pPr>
        <w:pStyle w:val="Normal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Разместить на официальном сайте учреждения анкету для проведения опроса для оценки качества условий оказания услуг </w:t>
      </w:r>
      <w:r>
        <w:rPr>
          <w:rFonts w:ascii="Times New Roman" w:hAnsi="Times New Roman"/>
          <w:sz w:val="26"/>
          <w:szCs w:val="26"/>
        </w:rPr>
        <w:t>учреждения, а также предусмотреть размещение на сайте учреждения следующих способов обратной связи: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форма подачи электронного обращения: жалобы, предложения, получение консультации, либо раздела «Часто задаваемые вопросы»;</w:t>
      </w:r>
    </w:p>
    <w:p>
      <w:pPr>
        <w:pStyle w:val="ListParagraph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Заменить на сайте учреждения следующие данные: </w:t>
      </w:r>
      <w:r>
        <w:rPr>
          <w:rFonts w:cs="Times New Roman" w:ascii="Times New Roman" w:hAnsi="Times New Roman"/>
          <w:sz w:val="26"/>
          <w:szCs w:val="26"/>
        </w:rPr>
        <w:t>план мероприятий, отчет о результатах деятельности организации, результаты НОК, план по улучшению качества работы (размещены устаревшие сведения);</w:t>
      </w:r>
    </w:p>
    <w:p>
      <w:pPr>
        <w:pStyle w:val="Normal"/>
        <w:ind w:left="567" w:right="452" w:firstLine="426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Вести целенаправленную и систематическую работу по привлечению активных интернет-пользователей;</w:t>
      </w:r>
    </w:p>
    <w:p>
      <w:pPr>
        <w:pStyle w:val="Normal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Проводить опрос граждан по изучению мнения в рамках проведения независимой оценки качества с использованием следующих форм опроса: телефонного опроса, онлайн-анкетирование;</w:t>
      </w:r>
    </w:p>
    <w:p>
      <w:pPr>
        <w:pStyle w:val="Normal"/>
        <w:ind w:left="567" w:right="45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Довести результаты анкетирования до всех работников учреждения.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Характеристики показателей независимой оценки качества условий оказания услуг организациями социальной сферы</w:t>
      </w:r>
    </w:p>
    <w:p>
      <w:pPr>
        <w:pStyle w:val="2"/>
        <w:spacing w:lineRule="auto" w:line="240" w:before="0" w:after="0"/>
        <w:ind w:left="284" w:right="0" w:firstLine="283"/>
        <w:jc w:val="both"/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Учреждение: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  <w:t>ОГБУК «Концертно-выставочный центр «Губернский»</w:t>
      </w:r>
    </w:p>
    <w:p>
      <w:pPr>
        <w:pStyle w:val="2"/>
        <w:spacing w:lineRule="auto" w:line="240" w:before="0" w:after="0"/>
        <w:ind w:left="284" w:right="0" w:firstLine="283"/>
        <w:jc w:val="both"/>
        <w:rPr>
          <w:rFonts w:cs="Times New Roman" w:ascii="Times New Roman" w:hAnsi="Times New Roman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Количество респондентов, принявших участие в опросе –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ru-RU"/>
        </w:rPr>
        <w:t xml:space="preserve">189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чел</w:t>
      </w:r>
    </w:p>
    <w:p>
      <w:pPr>
        <w:pStyle w:val="Normal"/>
        <w:spacing w:lineRule="auto" w:line="240" w:before="0" w:after="0"/>
        <w:ind w:left="113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102"/>
        <w:gridCol w:w="1424"/>
        <w:gridCol w:w="6231"/>
        <w:gridCol w:w="1845"/>
      </w:tblGrid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параметров в баллах</w:t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7965" w:leader="none"/>
                <w:tab w:val="left" w:pos="14895" w:leader="none"/>
              </w:tabs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  <w:tab/>
            </w:r>
          </w:p>
        </w:tc>
      </w:tr>
      <w:tr>
        <w:trPr>
          <w:trHeight w:val="720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ресурсах: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информационных стендах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официальном сайте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организации, ее содержанию и порядку, установленным нормативным правовым актам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 полное, сокращенное название, место нахождения, почтовый адрес, схема проезда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учредительные документы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- извлечение из законодательных и иных нормативных правовых актов, содержащие нормы, регулирующие деятельность по предоставлению услуги; 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 схема размещения справочных служб и рабочих мест (кабинетов) консультирующих специалистов, режим консультирования и приема ими граждан;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 порядок получения справок и консультаций;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- местонахождение и контактные телефоны исполнительного органа государственной власти Костромской области, осуществляющего контроль над предоставлением государственной услуги 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404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2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8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0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 Соответствие информации о деятельности организации социальной сферы, размещенной на официальном сайте организации социальной сферы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 полное, сокращенное название, место нахождения, почтовый адрес, схема проезда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дата создания организации, сведения об учредителе (лях)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учредительные документы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ФИО, должности руководящего состава, структурных подразделений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копия плана финансово-хозяйственной деятельности или бюджетной сметы об объеме предоставляемых услуг</w:t>
            </w:r>
          </w:p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информация о материально-техническом обеспечении</w:t>
            </w:r>
          </w:p>
          <w:p>
            <w:pPr>
              <w:pStyle w:val="ListParagraph"/>
              <w:spacing w:before="0" w:after="0"/>
              <w:ind w:left="33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копии лицензий на осуществление деятельности, подлежащей лицензированию</w:t>
            </w:r>
          </w:p>
          <w:p>
            <w:pPr>
              <w:pStyle w:val="ListParagraph"/>
              <w:spacing w:before="0" w:after="0"/>
              <w:ind w:left="33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информация о планируемых мероприятиях</w:t>
            </w:r>
          </w:p>
          <w:p>
            <w:pPr>
              <w:pStyle w:val="ListParagraph"/>
              <w:spacing w:before="0" w:after="0"/>
              <w:ind w:left="33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информация о выполнении государственного (муниципального) задания, отчет о результатах деятельности</w:t>
            </w:r>
          </w:p>
          <w:p>
            <w:pPr>
              <w:pStyle w:val="ListParagraph"/>
              <w:spacing w:before="0" w:after="0"/>
              <w:ind w:left="33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результаты НОК</w:t>
            </w:r>
          </w:p>
          <w:p>
            <w:pPr>
              <w:pStyle w:val="ListParagraph"/>
              <w:spacing w:before="0" w:after="0"/>
              <w:ind w:left="33" w:right="0" w:hanging="0"/>
              <w:contextualSpacing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план по улучшению качества работы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2"/>
                <w:numId w:val="1"/>
              </w:numPr>
              <w:spacing w:before="0" w:after="0"/>
              <w:ind w:left="33" w:right="0" w:hanging="720"/>
              <w:contextualSpacing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1.2.1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телефона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электронной почты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электронных сервисов – форма подачи электронного обращения: жалобы, предложения, получение консультации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раздел «Часто задаваемые вопросы»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анкеты для опроса граждан или ссылка на нее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иного дистанционного способа взаимодействия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организации, на официальном сайте в сети интернет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1.3.1. Доля получателей услуг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1.3.2. Доля получателей услуг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в сети Интернет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критерию Открытость и доступность информации об организации социальной сферы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организации социальной сферы комфортных условий для предоставления услуг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 Наличие комфортных условий для предоставления услуг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комфортной зоны отдыха (ожидания) оборудованной соответствующей мебелью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и понятность навигации внутри организации социальной сферы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и доступность питьевой воды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и доступность санитарно-гигиенических помещений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санитарное состояние помещений организации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- доступность записи на получение услуги (на сайте, по телефону, посредством Единого портала государственных и муниципальных услуг, при личном посещении)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ожидания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2.3.1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критерию Комфортность условий предоставления услуг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к ней с учетом доступности для инвалидов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 Наличие в помещениях организации социальной сферы и прилегающей к ней территории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оборудованных входных групп пандусами (подъемными платформами)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выделенных стоянок для автотранспортных средств инвалидов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адаптированных лифтов, поручней, расширенных дверных проемов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сменных кресел-колясок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3.2.1 Наличие в организации социальной сферы условий доступности, позволяющих инвалидам получать услуги наравне с другими: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возможность предоставления инвалидам по слуху услуг сурдопереводчика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альтернативной версии сайта организации социальной сферы в сети Интернет для инвалидов по зрению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60" w:leader="none"/>
                <w:tab w:val="center" w:pos="813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доступностью для инвалидов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3.3.1 Доля получателей услуг удовлетворенных доступностью услуг для инвалидов: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критерию Доступность услуг для инвалидов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Показатели, характеризующие доброжелательность, вежливость работников организации социальной сферы</w:t>
            </w:r>
          </w:p>
        </w:tc>
      </w:tr>
      <w:tr>
        <w:trPr>
          <w:trHeight w:val="330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4.1.1 Доля получателей услуг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кассы, гардероба) при непосредственном обращении в организацию: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330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4.2.1 Доля получателей услуг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(тренеры, инструкторы, библиотекари, экскурсоводы):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 удовлетворенных доброжелательностью, вежливость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4.3.1. Доля получателей услуг удовлетворенных доброжелательностью, вежливость работников организации социальной сферы при использовании дистанционных форм взаимодействия (по телефону, электронной почте, с помощью электронных сервисов (подачи жалобы, предложений):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критерию Доброжелательность, вежливость работников организации социальной сферы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5.1.1 Доля получателей услуг готовых рекомендовать организацию социальной сферы родственникам и знакомым: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5.2.1 Доля получателей услуг удовлетворенных получателей услуг организационными условиями оказания услуг (наличием и понятностью навигации внутри организации социальной сферы, графиком работы и ее подразделений: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получателей услуг,  удовлетворенных в целом условиями оказания услуг в организации социальной сферы</w:t>
            </w:r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5.3.1 Доля получателей услуг удовлетворенных в целом условиями оказания услуг в организации социальной сферы: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7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критерию Удовлетворенность условиями оказания услуг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</w:tr>
    </w:tbl>
    <w:p>
      <w:pPr>
        <w:pStyle w:val="Normal"/>
        <w:ind w:left="851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– Статья 36.2 Закона РФ от 9 октября 1992 г № 3612 -1, приказ Минкультуры России от 20.02.2015 г № 277</w:t>
      </w:r>
    </w:p>
    <w:p>
      <w:pPr>
        <w:pStyle w:val="Normal"/>
        <w:ind w:left="851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 - Данный критерий не применим к театрально-зрелищным и концертным организациям в соответствии со статьей 36.1 Закона РФ 9 октября 1992 г № 3612 -1</w:t>
      </w:r>
    </w:p>
    <w:p>
      <w:pPr>
        <w:pStyle w:val="Normal"/>
        <w:ind w:left="851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–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г № 2834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851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Исполнительный директор НО «Фонд развития Костромской области»                                  А. П. Каланова</w:t>
      </w:r>
    </w:p>
    <w:sectPr>
      <w:type w:val="nextPage"/>
      <w:pgSz w:w="11906" w:h="16838"/>
      <w:pgMar w:left="510" w:right="454" w:header="0" w:top="820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qFormat/>
    <w:link w:val="20"/>
    <w:rsid w:val="003c4dfe"/>
    <w:basedOn w:val="Normal"/>
    <w:pPr>
      <w:keepNext/>
      <w:keepLines/>
      <w:suppressAutoHyphens w:val="true"/>
      <w:spacing w:before="200" w:after="0"/>
      <w:ind w:left="540" w:right="0" w:hanging="54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6"/>
    <w:rsid w:val="009206e6"/>
    <w:basedOn w:val="DefaultParagraphFont"/>
    <w:rPr>
      <w:rFonts w:ascii="Segoe UI" w:hAnsi="Segoe UI" w:cs="Segoe UI"/>
      <w:sz w:val="18"/>
      <w:szCs w:val="18"/>
    </w:rPr>
  </w:style>
  <w:style w:type="character" w:styleId="Style14">
    <w:name w:val="Интернет-ссылка"/>
    <w:uiPriority w:val="99"/>
    <w:unhideWhenUsed/>
    <w:rsid w:val="00352fac"/>
    <w:basedOn w:val="DefaultParagraphFont"/>
    <w:rPr>
      <w:color w:val="0000FF"/>
      <w:u w:val="single"/>
      <w:lang w:val="zxx" w:eastAsia="zxx" w:bidi="zxx"/>
    </w:rPr>
  </w:style>
  <w:style w:type="character" w:styleId="21" w:customStyle="1">
    <w:name w:val="Заголовок 2 Знак"/>
    <w:link w:val="2"/>
    <w:rsid w:val="003c4dfe"/>
    <w:basedOn w:val="DefaultParagraphFont"/>
    <w:rPr>
      <w:rFonts w:ascii="Cambria" w:hAnsi="Cambria" w:eastAsia="Times New Roman" w:cs="Cambria"/>
      <w:b/>
      <w:bCs/>
      <w:color w:val="4F81BD"/>
      <w:sz w:val="26"/>
      <w:szCs w:val="26"/>
      <w:lang w:val="x-none" w:eastAsia="ar-SA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ListParagraph">
    <w:name w:val="List Paragraph"/>
    <w:uiPriority w:val="34"/>
    <w:qFormat/>
    <w:rsid w:val="003f4461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20208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9206e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461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6F90-D31B-4734-884C-E96B4E21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2018-11-06T10:24:00Z</dcterms:created>
  <dc:creator>Кирилл</dc:creator>
  <dc:language>ru-RU</dc:language>
  <cp:lastModifiedBy>frko1</cp:lastModifiedBy>
  <cp:lastPrinted>2018-10-12T09:23:00Z</cp:lastPrinted>
  <dcterms:modified xsi:type="dcterms:W3CDTF">2018-11-06T10:33:00Z</dcterms:modified>
  <cp:revision>3</cp:revision>
</cp:coreProperties>
</file>